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La metodología CARE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-622299</wp:posOffset>
                </wp:positionH>
                <wp:positionV relativeFrom="paragraph">
                  <wp:posOffset>-190499</wp:posOffset>
                </wp:positionV>
                <wp:extent cx="7573645" cy="206375"/>
                <wp:effectExtent b="0" l="0" r="0" t="0"/>
                <wp:wrapNone/>
                <wp:docPr id="140474857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 rot="10800000">
                          <a:off x="1563940" y="3681575"/>
                          <a:ext cx="756412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-622299</wp:posOffset>
                </wp:positionH>
                <wp:positionV relativeFrom="paragraph">
                  <wp:posOffset>-190499</wp:posOffset>
                </wp:positionV>
                <wp:extent cx="7573645" cy="206375"/>
                <wp:effectExtent b="0" l="0" r="0" t="0"/>
                <wp:wrapNone/>
                <wp:docPr id="140474857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364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4"/>
        </w:numPr>
        <w:ind w:left="448" w:hanging="360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Identificación de los ODS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Primero, identifique los temas relacionados con los ODS en su curso utilizando la guía de las preguntas que aparecen a continuación: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293" w:line="240" w:lineRule="auto"/>
        <w:ind w:left="808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¿El curso está relacionado con el mundo exterior? En caso afirmativo: ¿Cuáles son los temas?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808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¿Están estas cuestiones relacionadas con uno o más ODS? En caso afirmativo, ¿cuáles y cómo?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808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¿Hay alguna otra sugerencia sobre cómo integrar mejor estos ODS en el curso?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808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la descripción del curso no trata del mundo exterior, ¿por qué es así?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1" w:line="240" w:lineRule="auto"/>
        <w:ind w:left="808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podría relacionarse el curso con el mundo exterior en relación con los ODS?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808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¿Cuáles son algunas de las formas en que los ODS podrían incorporarse al curso?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808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Cómo pueden interrelacionarse y afrontarse de forma holística los ODS que ha identificado través de su curso;</w:t>
      </w:r>
    </w:p>
    <w:p w:rsidR="00000000" w:rsidDel="00000000" w:rsidP="00000000" w:rsidRDefault="00000000" w:rsidRPr="00000000" w14:paraId="0000000C">
      <w:pPr>
        <w:pStyle w:val="Heading1"/>
        <w:ind w:left="0" w:firstLine="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4810125</wp:posOffset>
            </wp:positionH>
            <wp:positionV relativeFrom="paragraph">
              <wp:posOffset>36066</wp:posOffset>
            </wp:positionV>
            <wp:extent cx="1369423" cy="1409156"/>
            <wp:effectExtent b="0" l="0" r="0" t="0"/>
            <wp:wrapNone/>
            <wp:docPr id="14047485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423" cy="14091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" w:line="240" w:lineRule="auto"/>
        <w:ind w:left="44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Utilice un curso de su elección y aplique los pasos de 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metodología CARE para revisarlo.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el paseo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nterior has explorado y revisado tu curso de acuerdo con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ODS.  Ahora empieza a revisarlo siguiendo la siguiente guía: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Fase 1: Conceptualización</w:t>
      </w:r>
    </w:p>
    <w:p w:rsidR="00000000" w:rsidDel="00000000" w:rsidP="00000000" w:rsidRDefault="00000000" w:rsidRPr="00000000" w14:paraId="00000012">
      <w:pPr>
        <w:tabs>
          <w:tab w:val="left" w:leader="none" w:pos="1528"/>
        </w:tabs>
        <w:rPr/>
      </w:pPr>
      <w:r w:rsidDel="00000000" w:rsidR="00000000" w:rsidRPr="00000000">
        <w:rPr>
          <w:rtl w:val="0"/>
        </w:rPr>
        <w:t xml:space="preserve">La conceptualización implica aclarar qué, por qué, quién, cuándo y dónde. Esto se refiere al proceso de establecer los impulsores críticos para el aprendizaje, como las competencias transversales de las 10C, los seis pilares para el 21º aprendizaje y la justicia de la sostenibilidad.</w:t>
      </w:r>
    </w:p>
    <w:p w:rsidR="00000000" w:rsidDel="00000000" w:rsidP="00000000" w:rsidRDefault="00000000" w:rsidRPr="00000000" w14:paraId="00000013">
      <w:pPr>
        <w:tabs>
          <w:tab w:val="left" w:leader="none" w:pos="1528"/>
        </w:tabs>
        <w:rPr>
          <w:i w:val="1"/>
        </w:rPr>
      </w:pPr>
      <w:r w:rsidDel="00000000" w:rsidR="00000000" w:rsidRPr="00000000">
        <w:rPr>
          <w:i w:val="1"/>
          <w:rtl w:val="0"/>
        </w:rPr>
        <w:t xml:space="preserve">Pasos: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Identifique la(s) tarea(s)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Contextualizar los temas con los ODS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Establezca los motores críticos del aprendizaje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528"/>
        </w:tabs>
        <w:rPr/>
      </w:pPr>
      <w:r w:rsidDel="00000000" w:rsidR="00000000" w:rsidRPr="00000000">
        <w:rPr>
          <w:rtl w:val="0"/>
        </w:rPr>
        <w:t xml:space="preserve">Las siguientes preguntas de reflexión pueden ser útiles durante la fase de conceptualización: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 es el tema central y cómo se relaciona con los 17 ODS?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¿Cuáles de las 10C, los 6 pilares y la justicia de la sostenibilidad se integran en el tema?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¿Cuáles son los resultados del aprendizaje o qué deben ser capaces de hacer los alumnos tras la realización de la actividad de aprendizaje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enfoques pedagógicos se utilizan?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orientación y apoyo se ofrecen?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1080" w:right="0" w:hanging="360"/>
        <w:jc w:val="left"/>
        <w:rPr/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6850" w:w="11920" w:orient="portrait"/>
          <w:pgMar w:bottom="280" w:top="0" w:left="992" w:right="1417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materiales didácticos y recursos TIC se utilizan para que los alumnos se comprometan con la Educación para la Sostenibilidad posibilitada por las TIC?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Fase 2: Activación</w:t>
      </w:r>
    </w:p>
    <w:p w:rsidR="00000000" w:rsidDel="00000000" w:rsidP="00000000" w:rsidRDefault="00000000" w:rsidRPr="00000000" w14:paraId="00000021">
      <w:pPr>
        <w:tabs>
          <w:tab w:val="left" w:leader="none" w:pos="1528"/>
        </w:tabs>
        <w:ind w:right="147"/>
        <w:rPr/>
      </w:pPr>
      <w:r w:rsidDel="00000000" w:rsidR="00000000" w:rsidRPr="00000000">
        <w:rPr>
          <w:rtl w:val="0"/>
        </w:rPr>
        <w:t xml:space="preserve">La activación se refiere a un proceso que pasa del diseño del aprendizaje a actividades de aprendizaje concretas, ofreciendo oportunidades a los alumnos para dialogar, reflexionar y comprometerse de forma significativa antes, durante y después de la intervención de aprendizaje. La activación intenta convertir el aula en un espacio de negociación mediante preguntas que plantean problemas y permiten a profesores y alumnos </w:t>
      </w:r>
      <w:r w:rsidDel="00000000" w:rsidR="00000000" w:rsidRPr="00000000">
        <w:rPr>
          <w:i w:val="1"/>
          <w:rtl w:val="0"/>
        </w:rPr>
        <w:t xml:space="preserve">co-construir </w:t>
      </w:r>
      <w:r w:rsidDel="00000000" w:rsidR="00000000" w:rsidRPr="00000000">
        <w:rPr>
          <w:rtl w:val="0"/>
        </w:rPr>
        <w:t xml:space="preserve">el conocimiento. </w:t>
      </w:r>
    </w:p>
    <w:p w:rsidR="00000000" w:rsidDel="00000000" w:rsidP="00000000" w:rsidRDefault="00000000" w:rsidRPr="00000000" w14:paraId="00000022">
      <w:pPr>
        <w:tabs>
          <w:tab w:val="left" w:leader="none" w:pos="1528"/>
        </w:tabs>
        <w:ind w:right="14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8"/>
        </w:tabs>
        <w:ind w:right="147"/>
        <w:rPr/>
      </w:pPr>
      <w:r w:rsidDel="00000000" w:rsidR="00000000" w:rsidRPr="00000000">
        <w:rPr>
          <w:rtl w:val="0"/>
        </w:rPr>
        <w:t xml:space="preserve">Las siguientes preguntas de reflexión pueden ser útiles durante la fase de Activación: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Recursos Educativos Abiertos se utilizan y qué otros recursos consideran que deben desarrollarse?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contribuye la intervención de aprendizaje a la activación de los alumnos?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tipo de actividades de aprendizaje realizan los alumnos?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Qué tipos de comunicación pueden utilizar los alumnos;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tipos de colaboración se desarrollan entre los estudiantes?</w:t>
      </w:r>
    </w:p>
    <w:p w:rsidR="00000000" w:rsidDel="00000000" w:rsidP="00000000" w:rsidRDefault="00000000" w:rsidRPr="00000000" w14:paraId="00000029">
      <w:pPr>
        <w:spacing w:before="26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Fase 3: Reflexión</w:t>
      </w:r>
    </w:p>
    <w:p w:rsidR="00000000" w:rsidDel="00000000" w:rsidP="00000000" w:rsidRDefault="00000000" w:rsidRPr="00000000" w14:paraId="0000002A">
      <w:pPr>
        <w:spacing w:before="266" w:lineRule="auto"/>
        <w:rPr/>
      </w:pPr>
      <w:r w:rsidDel="00000000" w:rsidR="00000000" w:rsidRPr="00000000">
        <w:rPr>
          <w:rtl w:val="0"/>
        </w:rPr>
        <w:t xml:space="preserve">La reflexión es un proceso transversal a todos los demás procesos, que implica a los alumnos en la identificación, exploración y clarificación de sus valores, pensamientos, sentimientos, hábitos y experiencias contrastados con otros alternativos. Esto califica a la reflexión como un proceso crítico que a menudo se utiliza indistintamente con reflexión crítica, que tiene lugar antes de la acción, durante la acción, después de la acción y más allá de la acción. En un intento de facilitar el proceso de reflexión crítica, hemos elaborado aún más el modelo reflexivo de Rolfe et al. (2001), añadiendo «¿Hacer qué?» a su ¿Qué? ¿Y ahora qué? ¿Y ahora qué?</w:t>
      </w:r>
    </w:p>
    <w:p w:rsidR="00000000" w:rsidDel="00000000" w:rsidP="00000000" w:rsidRDefault="00000000" w:rsidRPr="00000000" w14:paraId="0000002B">
      <w:pPr>
        <w:spacing w:before="266" w:lineRule="auto"/>
        <w:rPr/>
      </w:pPr>
      <w:r w:rsidDel="00000000" w:rsidR="00000000" w:rsidRPr="00000000">
        <w:rPr>
          <w:rtl w:val="0"/>
        </w:rPr>
        <w:t xml:space="preserve">Las siguientes preguntas de reflexión pueden ser útiles durante la fase de la Reflexión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146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¿Incluyen las actividades de aprendizaje la reflexión como parte de las estrategias de evaluación?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146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¿Se anima activamente a los alumnos a reflexionar en los puntos clave y en los pasos del procedimiento a lo largo de todas las fases del CARE?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8"/>
        </w:tabs>
        <w:spacing w:after="0" w:before="0" w:line="240" w:lineRule="auto"/>
        <w:ind w:left="720" w:right="146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¿Se prevé la posibilidad de reflexionar sobre los puntos fuertes y débiles de las actividades de aprendizaje, así como sobre posibles intervenciones de mejora durante y después de la realización de las actividades?</w:t>
      </w:r>
    </w:p>
    <w:p w:rsidR="00000000" w:rsidDel="00000000" w:rsidP="00000000" w:rsidRDefault="00000000" w:rsidRPr="00000000" w14:paraId="00000030">
      <w:pPr>
        <w:spacing w:before="267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Fase 4: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78"/>
        </w:tabs>
        <w:ind w:right="147"/>
        <w:rPr/>
      </w:pPr>
      <w:r w:rsidDel="00000000" w:rsidR="00000000" w:rsidRPr="00000000">
        <w:rPr>
          <w:rtl w:val="0"/>
        </w:rPr>
        <w:t xml:space="preserve">Mientras que la activación es un proceso de co-construcción del conocimiento y de creación de significado mediante el desarrollo del conocimiento existente de los alumnos para alcanzar niveles más profundos de comprensión a través de la reflexión crítica, el compromiso fusiona aún más el conocimiento, la conciencia crítica y la experiencia con la acción. Esto es lo que Freire describe como praxis. En el contexto de la metodología CARE, el compromiso como proceso puede impulsarse a través de: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1578"/>
        </w:tabs>
        <w:ind w:left="720" w:right="147" w:hanging="360"/>
        <w:rPr/>
      </w:pPr>
      <w:r w:rsidDel="00000000" w:rsidR="00000000" w:rsidRPr="00000000">
        <w:rPr>
          <w:rtl w:val="0"/>
        </w:rPr>
        <w:t xml:space="preserve">Compromiso conductual: Los alumnos están motivados para adherirse a las reglas, valores, normas y acciones asociadas con aprender a dar y compartir y aprender a hacer.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1578"/>
        </w:tabs>
        <w:ind w:left="720" w:right="147" w:hanging="360"/>
        <w:rPr/>
      </w:pPr>
      <w:r w:rsidDel="00000000" w:rsidR="00000000" w:rsidRPr="00000000">
        <w:rPr>
          <w:rtl w:val="0"/>
        </w:rPr>
        <w:t xml:space="preserve">Compromiso socioemocional: Los alumnos están motivados para aprender a convivir de forma sostenible.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1578"/>
        </w:tabs>
        <w:ind w:left="720" w:right="147" w:hanging="360"/>
        <w:rPr/>
      </w:pPr>
      <w:r w:rsidDel="00000000" w:rsidR="00000000" w:rsidRPr="00000000">
        <w:rPr>
          <w:rtl w:val="0"/>
        </w:rPr>
        <w:t xml:space="preserve">Compromiso cognitivo: Los alumnos están motivados para aprender a conocer y aprender a ser.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1578"/>
        </w:tabs>
        <w:ind w:left="720" w:right="147" w:hanging="360"/>
        <w:rPr/>
      </w:pPr>
      <w:r w:rsidDel="00000000" w:rsidR="00000000" w:rsidRPr="00000000">
        <w:rPr>
          <w:rtl w:val="0"/>
        </w:rPr>
        <w:t xml:space="preserve">Compromiso reflexivo: Los alumnos están motivados para aprender a reflexionar sobre sus propios valores.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1578"/>
        </w:tabs>
        <w:ind w:left="720" w:right="147" w:hanging="360"/>
        <w:rPr/>
      </w:pPr>
      <w:r w:rsidDel="00000000" w:rsidR="00000000" w:rsidRPr="00000000">
        <w:rPr>
          <w:rtl w:val="0"/>
        </w:rPr>
        <w:t xml:space="preserve">Compromiso transformador: Los alumnos están motivados para aprender a transformarse a sí mismos y a la sociedad</w:t>
      </w:r>
    </w:p>
    <w:p w:rsidR="00000000" w:rsidDel="00000000" w:rsidP="00000000" w:rsidRDefault="00000000" w:rsidRPr="00000000" w14:paraId="00000037">
      <w:pPr>
        <w:spacing w:before="266" w:lineRule="auto"/>
        <w:rPr/>
      </w:pPr>
      <w:r w:rsidDel="00000000" w:rsidR="00000000" w:rsidRPr="00000000">
        <w:rPr>
          <w:rtl w:val="0"/>
        </w:rPr>
        <w:t xml:space="preserve">Las siguientes preguntas de reflexión pueden ser útiles durante la fase del Compromiso</w:t>
      </w:r>
    </w:p>
    <w:p w:rsidR="00000000" w:rsidDel="00000000" w:rsidP="00000000" w:rsidRDefault="00000000" w:rsidRPr="00000000" w14:paraId="00000038">
      <w:pPr>
        <w:tabs>
          <w:tab w:val="left" w:leader="none" w:pos="1578"/>
        </w:tabs>
        <w:ind w:right="14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¿Utiliza la actividad estrategias y actividades de calentamiento para fomentar la participación de los alumnos?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¿Proporcionan las preguntas de reflexión la participación activa de los alumnos en todos los procesos de aprendizaje?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actividades que tengan en cuenta a los movilizados y apoyen la participación de los estudiantes.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¿Las actividades fomentan la interacción de los compañeros (compromiso conductual)?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¿Las actividades pueden tener sentido o significado para los alumnos? (Compromiso emocional/cognitivo)?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¿Las preguntas despiertan la curiosidad de los alumnos?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¿Involucra la actividad a los alumnos con controversias, argumentos y desacuerdos intelectuales?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8"/>
        </w:tabs>
        <w:spacing w:after="0" w:before="0" w:line="240" w:lineRule="auto"/>
        <w:ind w:left="720" w:right="14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¿Apoyan las herramientas educativas el compromiso y la interacción en el proceso de aprendizaje.</w:t>
      </w:r>
    </w:p>
    <w:p w:rsidR="00000000" w:rsidDel="00000000" w:rsidP="00000000" w:rsidRDefault="00000000" w:rsidRPr="00000000" w14:paraId="00000041">
      <w:pPr>
        <w:tabs>
          <w:tab w:val="left" w:leader="none" w:pos="1578"/>
        </w:tabs>
        <w:ind w:right="147"/>
        <w:rPr/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780" w:left="992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081530" cy="475866"/>
          <wp:effectExtent b="0" l="0" r="0" t="0"/>
          <wp:docPr id="140474857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81530" cy="4758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448" w:hanging="360"/>
      </w:pPr>
      <w:rPr/>
    </w:lvl>
    <w:lvl w:ilvl="1">
      <w:start w:val="1"/>
      <w:numFmt w:val="lowerLetter"/>
      <w:lvlText w:val="%2."/>
      <w:lvlJc w:val="left"/>
      <w:pPr>
        <w:ind w:left="1168" w:hanging="360"/>
      </w:pPr>
      <w:rPr/>
    </w:lvl>
    <w:lvl w:ilvl="2">
      <w:start w:val="1"/>
      <w:numFmt w:val="lowerRoman"/>
      <w:lvlText w:val="%3."/>
      <w:lvlJc w:val="right"/>
      <w:pPr>
        <w:ind w:left="1888" w:hanging="180"/>
      </w:pPr>
      <w:rPr/>
    </w:lvl>
    <w:lvl w:ilvl="3">
      <w:start w:val="1"/>
      <w:numFmt w:val="decimal"/>
      <w:lvlText w:val="%4."/>
      <w:lvlJc w:val="left"/>
      <w:pPr>
        <w:ind w:left="2608" w:hanging="360"/>
      </w:pPr>
      <w:rPr/>
    </w:lvl>
    <w:lvl w:ilvl="4">
      <w:start w:val="1"/>
      <w:numFmt w:val="lowerLetter"/>
      <w:lvlText w:val="%5."/>
      <w:lvlJc w:val="left"/>
      <w:pPr>
        <w:ind w:left="3328" w:hanging="360"/>
      </w:pPr>
      <w:rPr/>
    </w:lvl>
    <w:lvl w:ilvl="5">
      <w:start w:val="1"/>
      <w:numFmt w:val="lowerRoman"/>
      <w:lvlText w:val="%6."/>
      <w:lvlJc w:val="right"/>
      <w:pPr>
        <w:ind w:left="4048" w:hanging="180"/>
      </w:pPr>
      <w:rPr/>
    </w:lvl>
    <w:lvl w:ilvl="6">
      <w:start w:val="1"/>
      <w:numFmt w:val="decimal"/>
      <w:lvlText w:val="%7."/>
      <w:lvlJc w:val="left"/>
      <w:pPr>
        <w:ind w:left="4768" w:hanging="360"/>
      </w:pPr>
      <w:rPr/>
    </w:lvl>
    <w:lvl w:ilvl="7">
      <w:start w:val="1"/>
      <w:numFmt w:val="lowerLetter"/>
      <w:lvlText w:val="%8."/>
      <w:lvlJc w:val="left"/>
      <w:pPr>
        <w:ind w:left="5488" w:hanging="360"/>
      </w:pPr>
      <w:rPr/>
    </w:lvl>
    <w:lvl w:ilvl="8">
      <w:start w:val="1"/>
      <w:numFmt w:val="lowerRoman"/>
      <w:lvlText w:val="%9."/>
      <w:lvlJc w:val="right"/>
      <w:pPr>
        <w:ind w:left="6208" w:hanging="18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808" w:hanging="720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70" w:hanging="720"/>
      </w:pPr>
      <w:rPr/>
    </w:lvl>
    <w:lvl w:ilvl="2">
      <w:start w:val="0"/>
      <w:numFmt w:val="bullet"/>
      <w:lvlText w:val="•"/>
      <w:lvlJc w:val="left"/>
      <w:pPr>
        <w:ind w:left="2540" w:hanging="720"/>
      </w:pPr>
      <w:rPr/>
    </w:lvl>
    <w:lvl w:ilvl="3">
      <w:start w:val="0"/>
      <w:numFmt w:val="bullet"/>
      <w:lvlText w:val="•"/>
      <w:lvlJc w:val="left"/>
      <w:pPr>
        <w:ind w:left="3410" w:hanging="720"/>
      </w:pPr>
      <w:rPr/>
    </w:lvl>
    <w:lvl w:ilvl="4">
      <w:start w:val="0"/>
      <w:numFmt w:val="bullet"/>
      <w:lvlText w:val="•"/>
      <w:lvlJc w:val="left"/>
      <w:pPr>
        <w:ind w:left="4280" w:hanging="720"/>
      </w:pPr>
      <w:rPr/>
    </w:lvl>
    <w:lvl w:ilvl="5">
      <w:start w:val="0"/>
      <w:numFmt w:val="bullet"/>
      <w:lvlText w:val="•"/>
      <w:lvlJc w:val="left"/>
      <w:pPr>
        <w:ind w:left="5151" w:hanging="720"/>
      </w:pPr>
      <w:rPr/>
    </w:lvl>
    <w:lvl w:ilvl="6">
      <w:start w:val="0"/>
      <w:numFmt w:val="bullet"/>
      <w:lvlText w:val="•"/>
      <w:lvlJc w:val="left"/>
      <w:pPr>
        <w:ind w:left="6021" w:hanging="720"/>
      </w:pPr>
      <w:rPr/>
    </w:lvl>
    <w:lvl w:ilvl="7">
      <w:start w:val="0"/>
      <w:numFmt w:val="bullet"/>
      <w:lvlText w:val="•"/>
      <w:lvlJc w:val="left"/>
      <w:pPr>
        <w:ind w:left="6891" w:hanging="720"/>
      </w:pPr>
      <w:rPr/>
    </w:lvl>
    <w:lvl w:ilvl="8">
      <w:start w:val="0"/>
      <w:numFmt w:val="bullet"/>
      <w:lvlText w:val="•"/>
      <w:lvlJc w:val="left"/>
      <w:pPr>
        <w:ind w:left="7761" w:hanging="72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88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left="59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87" w:lineRule="auto"/>
      <w:ind w:left="4058" w:right="35" w:hanging="2468"/>
    </w:pPr>
    <w:rPr>
      <w:b w:val="1"/>
      <w:sz w:val="32"/>
      <w:szCs w:val="32"/>
    </w:rPr>
  </w:style>
  <w:style w:type="paragraph" w:styleId="Standard" w:default="1">
    <w:name w:val="Normal"/>
    <w:qFormat w:val="1"/>
    <w:rPr>
      <w:rFonts w:ascii="Calibri" w:cs="Calibri" w:eastAsia="Calibri" w:hAnsi="Calibri"/>
      <w:lang w:val="es-ES"/>
    </w:rPr>
  </w:style>
  <w:style w:type="paragraph" w:styleId="berschrift1">
    <w:name w:val="heading 1"/>
    <w:basedOn w:val="Standard"/>
    <w:uiPriority w:val="9"/>
    <w:qFormat w:val="1"/>
    <w:pPr>
      <w:ind w:left="88"/>
      <w:outlineLvl w:val="0"/>
    </w:pPr>
    <w:rPr>
      <w:b w:val="1"/>
      <w:bCs w:val="1"/>
      <w:sz w:val="28"/>
      <w:szCs w:val="28"/>
      <w:u w:color="000000" w:val="single"/>
    </w:rPr>
  </w:style>
  <w:style w:type="paragraph" w:styleId="berschrift2">
    <w:name w:val="heading 2"/>
    <w:basedOn w:val="Standard"/>
    <w:uiPriority w:val="9"/>
    <w:unhideWhenUsed w:val="1"/>
    <w:qFormat w:val="1"/>
    <w:pPr>
      <w:ind w:left="59"/>
      <w:outlineLvl w:val="1"/>
    </w:pPr>
    <w:rPr>
      <w:b w:val="1"/>
      <w:bCs w:val="1"/>
      <w:sz w:val="24"/>
      <w:szCs w:val="24"/>
    </w:rPr>
  </w:style>
  <w:style w:type="character" w:styleId="Absatz-Standardschriftart" w:default="1">
    <w:name w:val="Default Paragraph Font"/>
    <w:uiPriority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krper">
    <w:name w:val="Body Text"/>
    <w:basedOn w:val="Standard"/>
    <w:uiPriority w:val="1"/>
    <w:qFormat w:val="1"/>
  </w:style>
  <w:style w:type="paragraph" w:styleId="Titel">
    <w:name w:val="Title"/>
    <w:basedOn w:val="Standard"/>
    <w:uiPriority w:val="10"/>
    <w:qFormat w:val="1"/>
    <w:pPr>
      <w:spacing w:before="187"/>
      <w:ind w:left="4058" w:right="35" w:hanging="2468"/>
    </w:pPr>
    <w:rPr>
      <w:b w:val="1"/>
      <w:bCs w:val="1"/>
      <w:sz w:val="32"/>
      <w:szCs w:val="32"/>
    </w:rPr>
  </w:style>
  <w:style w:type="paragraph" w:styleId="Listenabsatz">
    <w:name w:val="List Paragraph"/>
    <w:basedOn w:val="Standard"/>
    <w:uiPriority w:val="1"/>
    <w:qFormat w:val="1"/>
    <w:pPr>
      <w:ind w:left="808" w:hanging="720"/>
    </w:pPr>
  </w:style>
  <w:style w:type="paragraph" w:styleId="TableParagraph" w:customStyle="1">
    <w:name w:val="Table Paragraph"/>
    <w:basedOn w:val="Standard"/>
    <w:uiPriority w:val="1"/>
    <w:qFormat w:val="1"/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A018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 w:val="1"/>
    <w:rsid w:val="00A0187E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A0187E"/>
    <w:rPr>
      <w:rFonts w:ascii="Calibri" w:cs="Calibri" w:eastAsia="Calibri" w:hAnsi="Calibri"/>
      <w:sz w:val="20"/>
      <w:szCs w:val="20"/>
      <w:lang w:val="es-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A0187E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A0187E"/>
    <w:rPr>
      <w:rFonts w:ascii="Calibri" w:cs="Calibri" w:eastAsia="Calibri" w:hAnsi="Calibri"/>
      <w:b w:val="1"/>
      <w:bCs w:val="1"/>
      <w:sz w:val="20"/>
      <w:szCs w:val="20"/>
      <w:lang w:val="es-ES"/>
    </w:rPr>
  </w:style>
  <w:style w:type="paragraph" w:styleId="Kopfzeile">
    <w:name w:val="header"/>
    <w:basedOn w:val="Standard"/>
    <w:link w:val="KopfzeileZchn"/>
    <w:uiPriority w:val="99"/>
    <w:unhideWhenUsed w:val="1"/>
    <w:rsid w:val="00207A3E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207A3E"/>
    <w:rPr>
      <w:rFonts w:ascii="Calibri" w:cs="Calibri" w:eastAsia="Calibri" w:hAnsi="Calibri"/>
      <w:lang w:val="es-ES"/>
    </w:rPr>
  </w:style>
  <w:style w:type="paragraph" w:styleId="Fuzeile">
    <w:name w:val="footer"/>
    <w:basedOn w:val="Standard"/>
    <w:link w:val="FuzeileZchn"/>
    <w:uiPriority w:val="99"/>
    <w:unhideWhenUsed w:val="1"/>
    <w:rsid w:val="00207A3E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207A3E"/>
    <w:rPr>
      <w:rFonts w:ascii="Calibri" w:cs="Calibri" w:eastAsia="Calibri" w:hAnsi="Calibri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KMHjQErE0moQtcYyxt0QpNP1xA==">CgMxLjA4AHIhMXJUZ0RkSnlJUkNyakpmWk1NVlI3b3M5YXlXM0pFSUxs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2025-05-26T09:09:00Z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0x0101007E0B10457023E6488E7A0D938C298417</vt:lpwstr>
  </property>
  <property fmtid="{D5CDD505-2E9C-101B-9397-08002B2CF9AE}" pid="7" name="MediaServiceImageTags">
    <vt:lpwstr/>
  </property>
</Properties>
</file>